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FD66A">
      <w:pPr>
        <w:suppressAutoHyphens/>
        <w:spacing w:after="120"/>
        <w:jc w:val="center"/>
        <w:rPr>
          <w:rFonts w:eastAsia="SimSun" w:asciiTheme="minorHAnsi" w:hAnsiTheme="minorHAnsi" w:cstheme="minorHAnsi"/>
          <w:b/>
          <w:sz w:val="22"/>
          <w:szCs w:val="22"/>
          <w:lang w:eastAsia="zh-CN"/>
        </w:rPr>
      </w:pPr>
      <w:bookmarkStart w:id="0" w:name="_GoBack"/>
      <w:bookmarkEnd w:id="0"/>
      <w:r>
        <w:rPr>
          <w:rFonts w:eastAsia="SimSun" w:asciiTheme="minorHAnsi" w:hAnsiTheme="minorHAnsi" w:cstheme="minorHAnsi"/>
          <w:b/>
          <w:sz w:val="22"/>
          <w:szCs w:val="22"/>
          <w:lang w:eastAsia="zh-CN"/>
        </w:rPr>
        <w:t>ΠΑΡΑΡΤΗΜΑ - ΤΕΧΝΙΚΕΣ ΠΡΟΔΙΑΓΡΑΦΕΣ</w:t>
      </w:r>
    </w:p>
    <w:p w14:paraId="731630F1">
      <w:pPr>
        <w:keepNext/>
        <w:keepLines/>
        <w:jc w:val="center"/>
        <w:rPr>
          <w:rFonts w:ascii="Calibri" w:hAnsi="Calibri" w:eastAsia="Bookman Old Style" w:cs="Arial"/>
          <w:sz w:val="20"/>
          <w:szCs w:val="20"/>
          <w:u w:val="single"/>
        </w:rPr>
      </w:pPr>
    </w:p>
    <w:p w14:paraId="4A63A197">
      <w:pPr>
        <w:spacing w:after="160" w:line="259" w:lineRule="auto"/>
        <w:ind w:firstLine="720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  <w:t xml:space="preserve">Πρόγραμμα υπολογισμού των συνταγών ολικής παρεντερικής διατροφής (ΟΠΔ) </w:t>
      </w:r>
    </w:p>
    <w:p w14:paraId="6B3B021B">
      <w:pPr>
        <w:spacing w:after="160" w:line="259" w:lineRule="auto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b/>
          <w:sz w:val="22"/>
          <w:szCs w:val="22"/>
          <w:u w:val="single"/>
          <w:lang w:eastAsia="en-US"/>
        </w:rPr>
        <w:t>Το πρόγραμμα υπολογισμού ΟΠΔ είναι απολύτως απαραίτητο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για την καθημερινή εξυπηρέτηση των διατροφικών αναγκών των προώρων νεογνών στην Μονάδα Εντατικής Νοσηλείας (</w:t>
      </w:r>
      <w:r>
        <w:rPr>
          <w:rFonts w:ascii="Calibri" w:hAnsi="Calibri" w:eastAsia="Calibri" w:cs="Calibri"/>
          <w:sz w:val="22"/>
          <w:szCs w:val="22"/>
          <w:lang w:val="en-US" w:eastAsia="en-US"/>
        </w:rPr>
        <w:t>BIS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eastAsia="Calibri" w:cs="Calibri"/>
          <w:sz w:val="22"/>
          <w:szCs w:val="22"/>
          <w:lang w:val="en-US" w:eastAsia="en-US"/>
        </w:rPr>
        <w:t>NTPN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) </w:t>
      </w:r>
    </w:p>
    <w:p w14:paraId="51CCC75C">
      <w:pPr>
        <w:spacing w:after="160" w:line="259" w:lineRule="auto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  <w:t xml:space="preserve">Το πρόγραμμα υπολογισμού συνταγών ΟΠΔ για πρόωρα νεογνά επιτελεί και είναι αναγκαίο  να επιτελεί </w:t>
      </w:r>
      <w:r>
        <w:rPr>
          <w:rFonts w:ascii="Calibri" w:hAnsi="Calibri" w:eastAsia="Calibri" w:cs="Calibri"/>
          <w:b/>
          <w:sz w:val="22"/>
          <w:szCs w:val="22"/>
          <w:u w:val="single"/>
          <w:lang w:eastAsia="en-US"/>
        </w:rPr>
        <w:t xml:space="preserve">τουλάχιστον </w:t>
      </w:r>
      <w:r>
        <w:rPr>
          <w:rFonts w:ascii="Calibri" w:hAnsi="Calibri" w:eastAsia="Calibri" w:cs="Calibri"/>
          <w:sz w:val="22"/>
          <w:szCs w:val="22"/>
          <w:lang w:eastAsia="en-US"/>
        </w:rPr>
        <w:t>τις παρακάτω λειτουργίες:</w:t>
      </w:r>
    </w:p>
    <w:p w14:paraId="3808F082">
      <w:pPr>
        <w:numPr>
          <w:ilvl w:val="0"/>
          <w:numId w:val="1"/>
        </w:numPr>
        <w:spacing w:after="160" w:line="276" w:lineRule="auto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  <w:t xml:space="preserve">Να επιτελεί τον υπολογισμό των εξατομικευμένων διατροφικών αναγκών κάθε νεογνού: </w:t>
      </w:r>
    </w:p>
    <w:p w14:paraId="49FF8E22">
      <w:pPr>
        <w:spacing w:after="160"/>
        <w:ind w:left="720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b/>
          <w:sz w:val="22"/>
          <w:szCs w:val="22"/>
          <w:lang w:eastAsia="en-US"/>
        </w:rPr>
        <w:t>(α)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με βάση την κλινική κατάσταση του νεογνού και </w:t>
      </w:r>
    </w:p>
    <w:p w14:paraId="6BFC7F32">
      <w:pPr>
        <w:spacing w:after="160"/>
        <w:ind w:left="720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b/>
          <w:sz w:val="22"/>
          <w:szCs w:val="22"/>
          <w:lang w:eastAsia="en-US"/>
        </w:rPr>
        <w:t>(β)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με επιλογή κατάλληλων δόσεων διατροφικών συστατικών από πρωτόκολλα ενημερωμένα και σύμφωνα με τη σύγχρονη βιβλιογραφία</w:t>
      </w:r>
    </w:p>
    <w:p w14:paraId="50A8A0FE">
      <w:pPr>
        <w:numPr>
          <w:ilvl w:val="0"/>
          <w:numId w:val="1"/>
        </w:numPr>
        <w:spacing w:after="160" w:line="276" w:lineRule="auto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  <w:t>Να υπολογίζει τα απαραίτητα συστατικά του διαλύματος της παρεντερικής διατροφής και των ποσοτήτων που απαιτούνται με επιλογή από τα κυκλοφορούντα σκευάσματα</w:t>
      </w:r>
    </w:p>
    <w:p w14:paraId="7035059D">
      <w:pPr>
        <w:numPr>
          <w:ilvl w:val="0"/>
          <w:numId w:val="1"/>
        </w:numPr>
        <w:spacing w:after="160" w:line="276" w:lineRule="auto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  <w:t>Να έχει καταχωρημένα όλα τα γνωστά εμπορικά σκευάσματα που σχετίζονται με την παρεντερική διατροφή</w:t>
      </w:r>
    </w:p>
    <w:p w14:paraId="3D2553F8">
      <w:pPr>
        <w:numPr>
          <w:ilvl w:val="0"/>
          <w:numId w:val="1"/>
        </w:numPr>
        <w:spacing w:after="160" w:line="276" w:lineRule="auto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  <w:t>Να επιτρέπει στον χρήστη του συστήματος να μεταβάλει, κατά τη κρίση του, οποιοδήποτε στοιχείο υπολογίσθηκε αυτόματα.</w:t>
      </w:r>
    </w:p>
    <w:p w14:paraId="5C13155A">
      <w:pPr>
        <w:numPr>
          <w:ilvl w:val="0"/>
          <w:numId w:val="1"/>
        </w:numPr>
        <w:spacing w:after="160" w:line="276" w:lineRule="auto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  <w:t xml:space="preserve"> Να ενημερώνει με ειδικά μηνύματα  άμεσα για τις συνέπειες κάθε μεταβολής ή για την υπέρβαση επιτρεπόμενων ορίων συγκεντρώσεων συστατικών (π.χ. μεγάλη συγκέντρωση γλυκόζης).</w:t>
      </w:r>
    </w:p>
    <w:p w14:paraId="632709BD">
      <w:pPr>
        <w:numPr>
          <w:ilvl w:val="0"/>
          <w:numId w:val="1"/>
        </w:numPr>
        <w:spacing w:after="160" w:line="276" w:lineRule="auto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  <w:t xml:space="preserve">Να εκτυπώνει τη συνταγή και την ετικέτα κάθε εξατομικευμένου σχήματος  παρεντερικής διατροφής </w:t>
      </w:r>
    </w:p>
    <w:p w14:paraId="6BAD9503">
      <w:pPr>
        <w:numPr>
          <w:ilvl w:val="0"/>
          <w:numId w:val="1"/>
        </w:numPr>
        <w:spacing w:after="160" w:line="276" w:lineRule="auto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  <w:t xml:space="preserve">Να είναι συμβατό με την αντλία </w:t>
      </w:r>
      <w:r>
        <w:rPr>
          <w:rFonts w:ascii="Calibri" w:hAnsi="Calibri" w:eastAsia="Calibri" w:cs="Calibri"/>
          <w:sz w:val="22"/>
          <w:szCs w:val="22"/>
          <w:lang w:val="en-US" w:eastAsia="en-US"/>
        </w:rPr>
        <w:t>F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Μ12 της εταιρεία </w:t>
      </w:r>
      <w:r>
        <w:rPr>
          <w:rFonts w:ascii="Calibri" w:hAnsi="Calibri" w:eastAsia="Calibri" w:cs="Calibri"/>
          <w:sz w:val="22"/>
          <w:szCs w:val="22"/>
          <w:lang w:val="en-US" w:eastAsia="en-US"/>
        </w:rPr>
        <w:t>FM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eastAsia="Calibri" w:cs="Calibri"/>
          <w:sz w:val="22"/>
          <w:szCs w:val="22"/>
          <w:lang w:val="en-US" w:eastAsia="en-US"/>
        </w:rPr>
        <w:t>FEED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που ήδη έχει αγοραστεί από το νοσοκομείο μας, ώστε να επιτελείται η αυτοματοποιημένη παρασκευή των διαλυμάτων παρεντερικής διατροφής (το πρόγραμμα υπολογίζει τις συνταγές και τις αποστέλλει στην αντλία με σκοπό την Παρασκευή των διαλυμάτων ΟΠΔ)</w:t>
      </w:r>
    </w:p>
    <w:p w14:paraId="7D3A8FDE">
      <w:pPr>
        <w:numPr>
          <w:ilvl w:val="0"/>
          <w:numId w:val="1"/>
        </w:numPr>
        <w:spacing w:after="160" w:line="276" w:lineRule="auto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  <w:t>Να διαθέτει βάση δεδομένων με τα στοιχεία των διαλυμάτων παρεντερικής που υπολογίσθηκαν για κάθε ασθενή, με δυνατότητα αναζήτησης και γρήγορο υπολογισμό του διαλύματος της επόμενης ημέρας.</w:t>
      </w:r>
    </w:p>
    <w:p w14:paraId="4AAE3A8C">
      <w:pPr>
        <w:numPr>
          <w:ilvl w:val="0"/>
          <w:numId w:val="1"/>
        </w:numPr>
        <w:spacing w:after="160" w:line="276" w:lineRule="auto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  <w:t>Να συγκεντρώνει όλες τις συνταγές που χρησιμοποιήθηκαν για την παρεντερική σίτιση κάθε νεογνού σε καρτέλα (μια καρτέλα για κάθε νεογνό) και να δίνει τη δυνατότητα εξαγωγής στατιστικών στοιχείων (σε εκτύπωση ή σε ηλεκτρονική μορφή για σύνδεση με άλλα στατιστικά πακέτα).</w:t>
      </w:r>
    </w:p>
    <w:p w14:paraId="525CABD3">
      <w:pPr>
        <w:jc w:val="center"/>
        <w:rPr>
          <w:rFonts w:cs="Arial"/>
          <w:sz w:val="20"/>
          <w:szCs w:val="20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A1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Bookman Old Style">
    <w:panose1 w:val="02050604050505020204"/>
    <w:charset w:val="A1"/>
    <w:family w:val="roman"/>
    <w:pitch w:val="default"/>
    <w:sig w:usb0="00000287" w:usb1="000000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72A44"/>
    <w:multiLevelType w:val="multilevel"/>
    <w:tmpl w:val="7EF72A44"/>
    <w:lvl w:ilvl="0" w:tentative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  <w:b/>
        <w:sz w:val="20"/>
        <w:szCs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EA"/>
    <w:rsid w:val="001759E4"/>
    <w:rsid w:val="00195B0E"/>
    <w:rsid w:val="00227045"/>
    <w:rsid w:val="00251893"/>
    <w:rsid w:val="00271495"/>
    <w:rsid w:val="00287DC9"/>
    <w:rsid w:val="002B7A27"/>
    <w:rsid w:val="00324EDD"/>
    <w:rsid w:val="00390ABE"/>
    <w:rsid w:val="003E4C6D"/>
    <w:rsid w:val="003E52F3"/>
    <w:rsid w:val="00492F30"/>
    <w:rsid w:val="004D26CF"/>
    <w:rsid w:val="00536D55"/>
    <w:rsid w:val="005A4F6E"/>
    <w:rsid w:val="005D5881"/>
    <w:rsid w:val="00611B55"/>
    <w:rsid w:val="006938D1"/>
    <w:rsid w:val="006D6E63"/>
    <w:rsid w:val="00707E1F"/>
    <w:rsid w:val="007F43EA"/>
    <w:rsid w:val="00832B79"/>
    <w:rsid w:val="008A067E"/>
    <w:rsid w:val="008A368C"/>
    <w:rsid w:val="008D5708"/>
    <w:rsid w:val="009646A8"/>
    <w:rsid w:val="009E54A5"/>
    <w:rsid w:val="00BE528D"/>
    <w:rsid w:val="00C7428C"/>
    <w:rsid w:val="00C96430"/>
    <w:rsid w:val="00D07B8F"/>
    <w:rsid w:val="00DA2EC5"/>
    <w:rsid w:val="00DF2964"/>
    <w:rsid w:val="00EA2062"/>
    <w:rsid w:val="00F5536D"/>
    <w:rsid w:val="00F6104E"/>
    <w:rsid w:val="0C79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left"/>
    </w:pPr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3">
    <w:name w:val="heading 3"/>
    <w:basedOn w:val="1"/>
    <w:next w:val="1"/>
    <w:link w:val="10"/>
    <w:unhideWhenUsed/>
    <w:qFormat/>
    <w:uiPriority w:val="0"/>
    <w:pPr>
      <w:keepNext/>
      <w:widowControl w:val="0"/>
      <w:tabs>
        <w:tab w:val="left" w:pos="-720"/>
      </w:tabs>
      <w:suppressAutoHyphens/>
      <w:snapToGrid w:val="0"/>
      <w:jc w:val="center"/>
      <w:outlineLvl w:val="2"/>
    </w:pPr>
    <w:rPr>
      <w:rFonts w:ascii="Arial" w:hAnsi="Arial" w:eastAsia="Arial Unicode MS"/>
      <w:spacing w:val="-3"/>
      <w:szCs w:val="20"/>
      <w:lang w:val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1"/>
    <w:semiHidden/>
    <w:unhideWhenUsed/>
    <w:qFormat/>
    <w:uiPriority w:val="0"/>
    <w:pPr>
      <w:suppressAutoHyphens/>
      <w:spacing w:after="240"/>
      <w:jc w:val="both"/>
    </w:pPr>
    <w:rPr>
      <w:rFonts w:ascii="Calibri" w:hAnsi="Calibri" w:cs="Calibri"/>
      <w:sz w:val="22"/>
      <w:lang w:val="en-GB" w:eastAsia="zh-CN"/>
    </w:rPr>
  </w:style>
  <w:style w:type="paragraph" w:styleId="7">
    <w:name w:val="Body Text Indent 2"/>
    <w:basedOn w:val="1"/>
    <w:link w:val="12"/>
    <w:unhideWhenUsed/>
    <w:qFormat/>
    <w:uiPriority w:val="0"/>
    <w:pPr>
      <w:overflowPunct w:val="0"/>
      <w:autoSpaceDE w:val="0"/>
      <w:autoSpaceDN w:val="0"/>
      <w:adjustRightInd w:val="0"/>
      <w:ind w:firstLine="600"/>
      <w:jc w:val="both"/>
    </w:pPr>
    <w:rPr>
      <w:rFonts w:ascii="Bookman Old Style" w:hAnsi="Bookman Old Style"/>
      <w:sz w:val="22"/>
    </w:rPr>
  </w:style>
  <w:style w:type="table" w:styleId="8">
    <w:name w:val="Table Grid"/>
    <w:basedOn w:val="5"/>
    <w:qFormat/>
    <w:uiPriority w:val="39"/>
    <w:pPr>
      <w:spacing w:after="0" w:line="240" w:lineRule="auto"/>
      <w:jc w:val="left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Επικεφαλίδα 2 Char"/>
    <w:basedOn w:val="4"/>
    <w:link w:val="2"/>
    <w:semiHidden/>
    <w:qFormat/>
    <w:uiPriority w:val="0"/>
    <w:rPr>
      <w:rFonts w:asciiTheme="majorHAnsi" w:hAnsiTheme="majorHAnsi" w:eastAsiaTheme="majorEastAsia" w:cstheme="majorBidi"/>
      <w:color w:val="5B9BD5" w:themeColor="accent1"/>
      <w:sz w:val="26"/>
      <w:szCs w:val="26"/>
      <w:lang w:eastAsia="el-GR"/>
      <w14:textFill>
        <w14:solidFill>
          <w14:schemeClr w14:val="accent1"/>
        </w14:solidFill>
      </w14:textFill>
    </w:rPr>
  </w:style>
  <w:style w:type="character" w:customStyle="1" w:styleId="10">
    <w:name w:val="Επικεφαλίδα 3 Char"/>
    <w:basedOn w:val="4"/>
    <w:link w:val="3"/>
    <w:uiPriority w:val="0"/>
    <w:rPr>
      <w:rFonts w:eastAsia="Arial Unicode MS" w:cs="Times New Roman"/>
      <w:spacing w:val="-3"/>
      <w:sz w:val="24"/>
      <w:szCs w:val="20"/>
      <w:lang w:val="en-US" w:eastAsia="el-GR"/>
    </w:rPr>
  </w:style>
  <w:style w:type="character" w:customStyle="1" w:styleId="11">
    <w:name w:val="Σώμα κειμένου Char"/>
    <w:basedOn w:val="4"/>
    <w:link w:val="6"/>
    <w:semiHidden/>
    <w:qFormat/>
    <w:uiPriority w:val="0"/>
    <w:rPr>
      <w:rFonts w:ascii="Calibri" w:hAnsi="Calibri" w:eastAsia="Times New Roman" w:cs="Calibri"/>
      <w:szCs w:val="24"/>
      <w:lang w:val="en-GB" w:eastAsia="zh-CN"/>
    </w:rPr>
  </w:style>
  <w:style w:type="character" w:customStyle="1" w:styleId="12">
    <w:name w:val="Σώμα κείμενου με εσοχή 2 Char"/>
    <w:basedOn w:val="4"/>
    <w:link w:val="7"/>
    <w:qFormat/>
    <w:uiPriority w:val="0"/>
    <w:rPr>
      <w:rFonts w:ascii="Bookman Old Style" w:hAnsi="Bookman Old Style" w:eastAsia="Times New Roman" w:cs="Times New Roman"/>
      <w:szCs w:val="24"/>
      <w:lang w:eastAsia="el-G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Style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eastAsia="Times New Roman" w:cs="Arial"/>
      <w:sz w:val="24"/>
      <w:szCs w:val="24"/>
      <w:lang w:val="el-GR" w:eastAsia="el-GR" w:bidi="ar-SA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 w:eastAsiaTheme="minorHAnsi"/>
      <w:color w:val="000000"/>
      <w:sz w:val="24"/>
      <w:szCs w:val="24"/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1752</Characters>
  <Lines>14</Lines>
  <Paragraphs>4</Paragraphs>
  <TotalTime>15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2024-03-29T13:59:00Z</dcterms:created>
  <dc:creator>ΓΙΑΝΝΗΣ</dc:creator>
  <cp:lastModifiedBy>dverga</cp:lastModifiedBy>
  <cp:lastPrinted>2023-01-28T17:46:00Z</cp:lastPrinted>
  <dcterms:modified xsi:type="dcterms:W3CDTF">2026-04-09T05:51:53Z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7EFDCA6DE77941E78FFECE09F94F579A_13</vt:lpwstr>
  </property>
</Properties>
</file>